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1B3A5C"/>
          <w:sz w:val="48"/>
        </w:rPr>
        <w:t>Pharaoh's Edge IT Integration &amp; Handover Kit</w:t>
      </w:r>
    </w:p>
    <w:p>
      <w:pPr>
        <w:jc w:val="center"/>
      </w:pPr>
      <w:r>
        <w:rPr>
          <w:rFonts w:ascii="Calibri" w:hAnsi="Calibri"/>
          <w:b/>
          <w:sz w:val="36"/>
        </w:rPr>
        <w:t>FREE SAMPLE — Integration Readiness Checklist (Excerpt)</w:t>
      </w:r>
    </w:p>
    <w:p>
      <w:pPr>
        <w:jc w:val="center"/>
      </w:pPr>
      <w:r>
        <w:rPr>
          <w:rFonts w:ascii="Calibri" w:hAnsi="Calibri"/>
          <w:sz w:val="22"/>
        </w:rPr>
        <w:t>Version 1.0</w:t>
        <w:br/>
      </w:r>
      <w:r>
        <w:rPr>
          <w:rFonts w:ascii="Calibri" w:hAnsi="Calibri"/>
          <w:sz w:val="22"/>
        </w:rPr>
        <w:t>Date 2026-09-28</w:t>
        <w:br/>
      </w:r>
      <w:r>
        <w:rPr>
          <w:rFonts w:ascii="Calibri" w:hAnsi="Calibri"/>
          <w:sz w:val="22"/>
        </w:rPr>
        <w:t>pharaohsedge.online</w:t>
        <w:br/>
      </w:r>
      <w:r>
        <w:rPr>
          <w:rFonts w:ascii="Calibri" w:hAnsi="Calibri"/>
          <w:sz w:val="22"/>
        </w:rPr>
        <w:t>For licensed use only</w:t>
        <w:br/>
      </w:r>
    </w:p>
    <w:p>
      <w:pPr>
        <w:jc w:val="center"/>
      </w:pPr>
      <w:r>
        <w:rPr>
          <w:rFonts w:ascii="Calibri" w:hAnsi="Calibri"/>
          <w:i/>
          <w:sz w:val="22"/>
        </w:rPr>
        <w:t>This excerpt includes Category 1 (Technical Readiness) and Category 2 (Data Readiness) only.</w:t>
      </w:r>
    </w:p>
    <w:p>
      <w:r>
        <w:br w:type="page"/>
      </w:r>
    </w:p>
    <w:p>
      <w:pPr>
        <w:jc w:val="center"/>
        <w:shd w:fill="1B3A5C"/>
      </w:pPr>
      <w:r>
        <w:rPr>
          <w:rFonts w:ascii="Calibri" w:hAnsi="Calibri"/>
          <w:b/>
          <w:color w:val="FFFFFF"/>
          <w:sz w:val="22"/>
        </w:rPr>
        <w:t>⚠️ FICTIONAL EXAMPLE — ALL DATA INVENTED FOR ILLUSTRATIVE PURPOSES ONLY</w:t>
      </w:r>
    </w:p>
    <w:p>
      <w:pPr>
        <w:jc w:val="center"/>
        <w:shd w:fill="B8860B"/>
      </w:pPr>
      <w:r>
        <w:rPr>
          <w:rFonts w:ascii="Calibri" w:hAnsi="Calibri"/>
          <w:b/>
          <w:color w:val="FFFFFF"/>
          <w:sz w:val="22"/>
        </w:rPr>
        <w:t>FREE SAMPLE — Full 65-item checklist + 4 additional readiness categories included in the complete IT Integration &amp; Handover Kit at pharaohsedge.online</w:t>
      </w:r>
    </w:p>
    <w:p>
      <w:r>
        <w:rPr>
          <w:rFonts w:ascii="Calibri" w:hAnsi="Calibri"/>
          <w:b/>
          <w:color w:val="1B3A5C"/>
          <w:sz w:val="26"/>
        </w:rPr>
        <w:t>Purpose</w:t>
      </w:r>
    </w:p>
    <w:p>
      <w:r>
        <w:rPr>
          <w:rFonts w:ascii="Calibri" w:hAnsi="Calibri"/>
          <w:sz w:val="22"/>
        </w:rPr>
        <w:t>Use this free sample to see the checklist format, scoring approach, and professional table layout used in the full readiness pack. The complete kit contains additional categories and the full 65-item checklist.</w:t>
      </w:r>
    </w:p>
    <w:p>
      <w:r>
        <w:rPr>
          <w:rFonts w:ascii="Calibri" w:hAnsi="Calibri"/>
          <w:b/>
          <w:color w:val="1B3A5C"/>
          <w:sz w:val="26"/>
        </w:rPr>
        <w:t>Category 1 — Technical Readiness</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blHeader w:val="true"/>
          <w:tblHeader w:val="true"/>
          <w:tblHeader w:val="true"/>
          <w:tblHeader w:val="true"/>
        </w:trPr>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Item #</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Check description</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Status</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Owner</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Notes / Evidence</w:t>
            </w:r>
          </w:p>
        </w:tc>
      </w:tr>
      <w:tr>
        <w:tc>
          <w:tcPr>
            <w:tcW w:type="dxa" w:w="2074"/>
            <w:shd w:fill="F3F5F7"/>
          </w:tcPr>
          <w:p>
            <w:r>
              <w:rPr>
                <w:rFonts w:ascii="Calibri" w:hAnsi="Calibri"/>
                <w:sz w:val="22"/>
              </w:rPr>
              <w:t>1</w:t>
            </w:r>
          </w:p>
        </w:tc>
        <w:tc>
          <w:tcPr>
            <w:tcW w:type="dxa" w:w="2074"/>
            <w:shd w:fill="F3F5F7"/>
          </w:tcPr>
          <w:p>
            <w:r>
              <w:rPr>
                <w:rFonts w:ascii="Calibri" w:hAnsi="Calibri"/>
                <w:sz w:val="22"/>
              </w:rPr>
              <w:t>API specifications documented and available</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w:t>
            </w:r>
          </w:p>
        </w:tc>
        <w:tc>
          <w:tcPr>
            <w:tcW w:type="dxa" w:w="2074"/>
          </w:tcPr>
          <w:p>
            <w:r>
              <w:rPr>
                <w:rFonts w:ascii="Calibri" w:hAnsi="Calibri"/>
                <w:sz w:val="22"/>
              </w:rPr>
              <w:t>Sandbox/dev environments provisioned for all systems</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3</w:t>
            </w:r>
          </w:p>
        </w:tc>
        <w:tc>
          <w:tcPr>
            <w:tcW w:type="dxa" w:w="2074"/>
            <w:shd w:fill="F3F5F7"/>
          </w:tcPr>
          <w:p>
            <w:r>
              <w:rPr>
                <w:rFonts w:ascii="Calibri" w:hAnsi="Calibri"/>
                <w:sz w:val="22"/>
              </w:rPr>
              <w:t>Authentication/authorization configured in test environment</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4</w:t>
            </w:r>
          </w:p>
        </w:tc>
        <w:tc>
          <w:tcPr>
            <w:tcW w:type="dxa" w:w="2074"/>
          </w:tcPr>
          <w:p>
            <w:r>
              <w:rPr>
                <w:rFonts w:ascii="Calibri" w:hAnsi="Calibri"/>
                <w:sz w:val="22"/>
              </w:rPr>
              <w:t>Network connectivity confirmed between all integration points (firewall rules, VPN, etc.)</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5</w:t>
            </w:r>
          </w:p>
        </w:tc>
        <w:tc>
          <w:tcPr>
            <w:tcW w:type="dxa" w:w="2074"/>
            <w:shd w:fill="F3F5F7"/>
          </w:tcPr>
          <w:p>
            <w:r>
              <w:rPr>
                <w:rFonts w:ascii="Calibri" w:hAnsi="Calibri"/>
                <w:sz w:val="22"/>
              </w:rPr>
              <w:t>SSL/TLS certificates valid and in place</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6</w:t>
            </w:r>
          </w:p>
        </w:tc>
        <w:tc>
          <w:tcPr>
            <w:tcW w:type="dxa" w:w="2074"/>
          </w:tcPr>
          <w:p>
            <w:r>
              <w:rPr>
                <w:rFonts w:ascii="Calibri" w:hAnsi="Calibri"/>
                <w:sz w:val="22"/>
              </w:rPr>
              <w:t>API rate limits documented and within expected transaction volumes</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7</w:t>
            </w:r>
          </w:p>
        </w:tc>
        <w:tc>
          <w:tcPr>
            <w:tcW w:type="dxa" w:w="2074"/>
            <w:shd w:fill="F3F5F7"/>
          </w:tcPr>
          <w:p>
            <w:r>
              <w:rPr>
                <w:rFonts w:ascii="Calibri" w:hAnsi="Calibri"/>
                <w:sz w:val="22"/>
              </w:rPr>
              <w:t>Integration middleware / ESB configured (if applicable)</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8</w:t>
            </w:r>
          </w:p>
        </w:tc>
        <w:tc>
          <w:tcPr>
            <w:tcW w:type="dxa" w:w="2074"/>
          </w:tcPr>
          <w:p>
            <w:r>
              <w:rPr>
                <w:rFonts w:ascii="Calibri" w:hAnsi="Calibri"/>
                <w:sz w:val="22"/>
              </w:rPr>
              <w:t>Error handling and retry logic implemented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9</w:t>
            </w:r>
          </w:p>
        </w:tc>
        <w:tc>
          <w:tcPr>
            <w:tcW w:type="dxa" w:w="2074"/>
            <w:shd w:fill="F3F5F7"/>
          </w:tcPr>
          <w:p>
            <w:r>
              <w:rPr>
                <w:rFonts w:ascii="Calibri" w:hAnsi="Calibri"/>
                <w:sz w:val="22"/>
              </w:rPr>
              <w:t>Dead-letter queue or equivalent configured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10</w:t>
            </w:r>
          </w:p>
        </w:tc>
        <w:tc>
          <w:tcPr>
            <w:tcW w:type="dxa" w:w="2074"/>
          </w:tcPr>
          <w:p>
            <w:r>
              <w:rPr>
                <w:rFonts w:ascii="Calibri" w:hAnsi="Calibri"/>
                <w:sz w:val="22"/>
              </w:rPr>
              <w:t>API versioning strategy agreed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11</w:t>
            </w:r>
          </w:p>
        </w:tc>
        <w:tc>
          <w:tcPr>
            <w:tcW w:type="dxa" w:w="2074"/>
            <w:shd w:fill="F3F5F7"/>
          </w:tcPr>
          <w:p>
            <w:r>
              <w:rPr>
                <w:rFonts w:ascii="Calibri" w:hAnsi="Calibri"/>
                <w:sz w:val="22"/>
              </w:rPr>
              <w:t>Logging enabled at integration layer (what, where, retention)</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12</w:t>
            </w:r>
          </w:p>
        </w:tc>
        <w:tc>
          <w:tcPr>
            <w:tcW w:type="dxa" w:w="2074"/>
          </w:tcPr>
          <w:p>
            <w:r>
              <w:rPr>
                <w:rFonts w:ascii="Calibri" w:hAnsi="Calibri"/>
                <w:sz w:val="22"/>
              </w:rPr>
              <w:t>Monitoring alerts configured (threshold-based + anomaly)</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13</w:t>
            </w:r>
          </w:p>
        </w:tc>
        <w:tc>
          <w:tcPr>
            <w:tcW w:type="dxa" w:w="2074"/>
            <w:shd w:fill="F3F5F7"/>
          </w:tcPr>
          <w:p>
            <w:r>
              <w:rPr>
                <w:rFonts w:ascii="Calibri" w:hAnsi="Calibri"/>
                <w:sz w:val="22"/>
              </w:rPr>
              <w:t>Rollback mechanism tested in non-production</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14</w:t>
            </w:r>
          </w:p>
        </w:tc>
        <w:tc>
          <w:tcPr>
            <w:tcW w:type="dxa" w:w="2074"/>
          </w:tcPr>
          <w:p>
            <w:r>
              <w:rPr>
                <w:rFonts w:ascii="Calibri" w:hAnsi="Calibri"/>
                <w:sz w:val="22"/>
              </w:rPr>
              <w:t>Data mapping specification signed off by both technical teams</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15</w:t>
            </w:r>
          </w:p>
        </w:tc>
        <w:tc>
          <w:tcPr>
            <w:tcW w:type="dxa" w:w="2074"/>
            <w:shd w:fill="F3F5F7"/>
          </w:tcPr>
          <w:p>
            <w:r>
              <w:rPr>
                <w:rFonts w:ascii="Calibri" w:hAnsi="Calibri"/>
                <w:sz w:val="22"/>
              </w:rPr>
              <w:t>Field-level transformation logic documented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16</w:t>
            </w:r>
          </w:p>
        </w:tc>
        <w:tc>
          <w:tcPr>
            <w:tcW w:type="dxa" w:w="2074"/>
          </w:tcPr>
          <w:p>
            <w:r>
              <w:rPr>
                <w:rFonts w:ascii="Calibri" w:hAnsi="Calibri"/>
                <w:sz w:val="22"/>
              </w:rPr>
              <w:t>Character encoding confirmed (UTF-8, etc.)</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17</w:t>
            </w:r>
          </w:p>
        </w:tc>
        <w:tc>
          <w:tcPr>
            <w:tcW w:type="dxa" w:w="2074"/>
            <w:shd w:fill="F3F5F7"/>
          </w:tcPr>
          <w:p>
            <w:r>
              <w:rPr>
                <w:rFonts w:ascii="Calibri" w:hAnsi="Calibri"/>
                <w:sz w:val="22"/>
              </w:rPr>
              <w:t>Date/time timezone handling confirmed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18</w:t>
            </w:r>
          </w:p>
        </w:tc>
        <w:tc>
          <w:tcPr>
            <w:tcW w:type="dxa" w:w="2074"/>
          </w:tcPr>
          <w:p>
            <w:r>
              <w:rPr>
                <w:rFonts w:ascii="Calibri" w:hAnsi="Calibri"/>
                <w:sz w:val="22"/>
              </w:rPr>
              <w:t>Null/empty value handling defined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bl>
    <w:p>
      <w:r>
        <w:rPr>
          <w:sz w:val="20"/>
        </w:rPr>
        <w:t>Scoring note: the complete readiness workbook uses Complete = 1, Partial = 0.5, and Not Started / N-A-not-met = 0. This free sample preserves the checklist structure without the full scored workbook.</w:t>
      </w:r>
    </w:p>
    <w:p>
      <w:r/>
    </w:p>
    <w:p>
      <w:r>
        <w:br w:type="page"/>
      </w:r>
    </w:p>
    <w:p>
      <w:pPr>
        <w:jc w:val="center"/>
        <w:shd w:fill="1B3A5C"/>
      </w:pPr>
      <w:r>
        <w:rPr>
          <w:rFonts w:ascii="Calibri" w:hAnsi="Calibri"/>
          <w:b/>
          <w:color w:val="FFFFFF"/>
          <w:sz w:val="22"/>
        </w:rPr>
        <w:t>⚠️ FICTIONAL EXAMPLE — ALL DATA INVENTED FOR ILLUSTRATIVE PURPOSES ONLY</w:t>
      </w:r>
    </w:p>
    <w:p>
      <w:pPr>
        <w:jc w:val="center"/>
        <w:shd w:fill="B8860B"/>
      </w:pPr>
      <w:r>
        <w:rPr>
          <w:rFonts w:ascii="Calibri" w:hAnsi="Calibri"/>
          <w:b/>
          <w:color w:val="FFFFFF"/>
          <w:sz w:val="22"/>
        </w:rPr>
        <w:t>FREE SAMPLE — Full 65-item checklist + 4 additional readiness categories included in the complete IT Integration &amp; Handover Kit at pharaohsedge.online</w:t>
      </w:r>
    </w:p>
    <w:p>
      <w:r>
        <w:rPr>
          <w:rFonts w:ascii="Calibri" w:hAnsi="Calibri"/>
          <w:b/>
          <w:color w:val="1B3A5C"/>
          <w:sz w:val="26"/>
        </w:rPr>
        <w:t>Category 2 — Data Readiness</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blHeader w:val="true"/>
          <w:tblHeader w:val="true"/>
          <w:tblHeader w:val="true"/>
          <w:tblHeader w:val="true"/>
        </w:trPr>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Item #</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Check description</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Status</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Owner</w:t>
            </w:r>
          </w:p>
        </w:tc>
        <w:tc>
          <w:tcPr>
            <w:tcW w:type="dxa" w:w="2074"/>
            <w:vAlign w:val="center"/>
            <w:tcBorders>
              <w:top w:val="single" w:sz="6" w:color="B7C3D0"/>
              <w:left w:val="single" w:sz="6" w:color="B7C3D0"/>
              <w:bottom w:val="single" w:sz="6" w:color="B7C3D0"/>
              <w:right w:val="single" w:sz="6" w:color="B7C3D0"/>
            </w:tcBorders>
            <w:shd w:fill="D9E5F2"/>
          </w:tcPr>
          <w:p>
            <w:r>
              <w:rPr>
                <w:rFonts w:ascii="Calibri" w:hAnsi="Calibri"/>
                <w:b/>
                <w:sz w:val="22"/>
              </w:rPr>
              <w:t>Notes / Evidence</w:t>
            </w:r>
          </w:p>
        </w:tc>
      </w:tr>
      <w:tr>
        <w:tc>
          <w:tcPr>
            <w:tcW w:type="dxa" w:w="2074"/>
            <w:shd w:fill="F3F5F7"/>
          </w:tcPr>
          <w:p>
            <w:r>
              <w:rPr>
                <w:rFonts w:ascii="Calibri" w:hAnsi="Calibri"/>
                <w:sz w:val="22"/>
              </w:rPr>
              <w:t>19</w:t>
            </w:r>
          </w:p>
        </w:tc>
        <w:tc>
          <w:tcPr>
            <w:tcW w:type="dxa" w:w="2074"/>
            <w:shd w:fill="F3F5F7"/>
          </w:tcPr>
          <w:p>
            <w:r>
              <w:rPr>
                <w:rFonts w:ascii="Calibri" w:hAnsi="Calibri"/>
                <w:sz w:val="22"/>
              </w:rPr>
              <w:t>Source data quality assessment completed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20</w:t>
            </w:r>
          </w:p>
        </w:tc>
        <w:tc>
          <w:tcPr>
            <w:tcW w:type="dxa" w:w="2074"/>
          </w:tcPr>
          <w:p>
            <w:r>
              <w:rPr>
                <w:rFonts w:ascii="Calibri" w:hAnsi="Calibri"/>
                <w:sz w:val="22"/>
              </w:rPr>
              <w:t>Data cleansing rules defined and applied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21</w:t>
            </w:r>
          </w:p>
        </w:tc>
        <w:tc>
          <w:tcPr>
            <w:tcW w:type="dxa" w:w="2074"/>
            <w:shd w:fill="F3F5F7"/>
          </w:tcPr>
          <w:p>
            <w:r>
              <w:rPr>
                <w:rFonts w:ascii="Calibri" w:hAnsi="Calibri"/>
                <w:sz w:val="22"/>
              </w:rPr>
              <w:t>Data volume baseline documented (current and projected 12-month)</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22</w:t>
            </w:r>
          </w:p>
        </w:tc>
        <w:tc>
          <w:tcPr>
            <w:tcW w:type="dxa" w:w="2074"/>
          </w:tcPr>
          <w:p>
            <w:r>
              <w:rPr>
                <w:rFonts w:ascii="Calibri" w:hAnsi="Calibri"/>
                <w:sz w:val="22"/>
              </w:rPr>
              <w:t>Initial data load / migration plan defined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23</w:t>
            </w:r>
          </w:p>
        </w:tc>
        <w:tc>
          <w:tcPr>
            <w:tcW w:type="dxa" w:w="2074"/>
            <w:shd w:fill="F3F5F7"/>
          </w:tcPr>
          <w:p>
            <w:r>
              <w:rPr>
                <w:rFonts w:ascii="Calibri" w:hAnsi="Calibri"/>
                <w:sz w:val="22"/>
              </w:rPr>
              <w:t>Data migration scripts tested in non-production</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24</w:t>
            </w:r>
          </w:p>
        </w:tc>
        <w:tc>
          <w:tcPr>
            <w:tcW w:type="dxa" w:w="2074"/>
          </w:tcPr>
          <w:p>
            <w:r>
              <w:rPr>
                <w:rFonts w:ascii="Calibri" w:hAnsi="Calibri"/>
                <w:sz w:val="22"/>
              </w:rPr>
              <w:t>Reconciliation process defined (how to verify counts/totals post-migration)</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25</w:t>
            </w:r>
          </w:p>
        </w:tc>
        <w:tc>
          <w:tcPr>
            <w:tcW w:type="dxa" w:w="2074"/>
            <w:shd w:fill="F3F5F7"/>
          </w:tcPr>
          <w:p>
            <w:r>
              <w:rPr>
                <w:rFonts w:ascii="Calibri" w:hAnsi="Calibri"/>
                <w:sz w:val="22"/>
              </w:rPr>
              <w:t>Data mapping document approved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26</w:t>
            </w:r>
          </w:p>
        </w:tc>
        <w:tc>
          <w:tcPr>
            <w:tcW w:type="dxa" w:w="2074"/>
          </w:tcPr>
          <w:p>
            <w:r>
              <w:rPr>
                <w:rFonts w:ascii="Calibri" w:hAnsi="Calibri"/>
                <w:sz w:val="22"/>
              </w:rPr>
              <w:t>Sensitive data identified and handling rules applied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27</w:t>
            </w:r>
          </w:p>
        </w:tc>
        <w:tc>
          <w:tcPr>
            <w:tcW w:type="dxa" w:w="2074"/>
            <w:shd w:fill="F3F5F7"/>
          </w:tcPr>
          <w:p>
            <w:r>
              <w:rPr>
                <w:rFonts w:ascii="Calibri" w:hAnsi="Calibri"/>
                <w:sz w:val="22"/>
              </w:rPr>
              <w:t>Archive/purge strategy defined for historical data</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28</w:t>
            </w:r>
          </w:p>
        </w:tc>
        <w:tc>
          <w:tcPr>
            <w:tcW w:type="dxa" w:w="2074"/>
          </w:tcPr>
          <w:p>
            <w:r>
              <w:rPr>
                <w:rFonts w:ascii="Calibri" w:hAnsi="Calibri"/>
                <w:sz w:val="22"/>
              </w:rPr>
              <w:t>Backup taken immediately before cutover</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29</w:t>
            </w:r>
          </w:p>
        </w:tc>
        <w:tc>
          <w:tcPr>
            <w:tcW w:type="dxa" w:w="2074"/>
            <w:shd w:fill="F3F5F7"/>
          </w:tcPr>
          <w:p>
            <w:r>
              <w:rPr>
                <w:rFonts w:ascii="Calibri" w:hAnsi="Calibri"/>
                <w:sz w:val="22"/>
              </w:rPr>
              <w:t>Data validation test cases executed and passed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30</w:t>
            </w:r>
          </w:p>
        </w:tc>
        <w:tc>
          <w:tcPr>
            <w:tcW w:type="dxa" w:w="2074"/>
          </w:tcPr>
          <w:p>
            <w:r>
              <w:rPr>
                <w:rFonts w:ascii="Calibri" w:hAnsi="Calibri"/>
                <w:sz w:val="22"/>
              </w:rPr>
              <w:t>Master data governance (duplicates, ownership) defined</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31</w:t>
            </w:r>
          </w:p>
        </w:tc>
        <w:tc>
          <w:tcPr>
            <w:tcW w:type="dxa" w:w="2074"/>
            <w:shd w:fill="F3F5F7"/>
          </w:tcPr>
          <w:p>
            <w:r>
              <w:rPr>
                <w:rFonts w:ascii="Calibri" w:hAnsi="Calibri"/>
                <w:sz w:val="22"/>
              </w:rPr>
              <w:t>Exception handling for rejected/failed records documented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r>
        <w:tc>
          <w:tcPr>
            <w:tcW w:type="dxa" w:w="2074"/>
          </w:tcPr>
          <w:p>
            <w:r>
              <w:rPr>
                <w:rFonts w:ascii="Calibri" w:hAnsi="Calibri"/>
                <w:sz w:val="22"/>
              </w:rPr>
              <w:t>32</w:t>
            </w:r>
          </w:p>
        </w:tc>
        <w:tc>
          <w:tcPr>
            <w:tcW w:type="dxa" w:w="2074"/>
          </w:tcPr>
          <w:p>
            <w:r>
              <w:rPr>
                <w:rFonts w:ascii="Calibri" w:hAnsi="Calibri"/>
                <w:sz w:val="22"/>
              </w:rPr>
              <w:t>Data retention requirements confirmed with business owner</w:t>
            </w:r>
          </w:p>
        </w:tc>
        <w:tc>
          <w:tcPr>
            <w:tcW w:type="dxa" w:w="2074"/>
          </w:tcPr>
          <w:p>
            <w:r>
              <w:rPr>
                <w:rFonts w:ascii="Calibri" w:hAnsi="Calibri"/>
                <w:sz w:val="22"/>
              </w:rPr>
              <w:t>Not Started</w:t>
            </w:r>
          </w:p>
        </w:tc>
        <w:tc>
          <w:tcPr>
            <w:tcW w:type="dxa" w:w="2074"/>
          </w:tcPr>
          <w:p>
            <w:r>
              <w:rPr>
                <w:rFonts w:ascii="Calibri" w:hAnsi="Calibri"/>
                <w:sz w:val="22"/>
              </w:rPr>
              <w:t>TBD</w:t>
            </w:r>
          </w:p>
        </w:tc>
        <w:tc>
          <w:tcPr>
            <w:tcW w:type="dxa" w:w="2074"/>
          </w:tcPr>
          <w:p>
            <w:r>
              <w:rPr>
                <w:rFonts w:ascii="Calibri" w:hAnsi="Calibri"/>
                <w:sz w:val="22"/>
              </w:rPr>
            </w:r>
          </w:p>
        </w:tc>
      </w:tr>
      <w:tr>
        <w:tc>
          <w:tcPr>
            <w:tcW w:type="dxa" w:w="2074"/>
            <w:shd w:fill="F3F5F7"/>
          </w:tcPr>
          <w:p>
            <w:r>
              <w:rPr>
                <w:rFonts w:ascii="Calibri" w:hAnsi="Calibri"/>
                <w:sz w:val="22"/>
              </w:rPr>
              <w:t>33</w:t>
            </w:r>
          </w:p>
        </w:tc>
        <w:tc>
          <w:tcPr>
            <w:tcW w:type="dxa" w:w="2074"/>
            <w:shd w:fill="F3F5F7"/>
          </w:tcPr>
          <w:p>
            <w:r>
              <w:rPr>
                <w:rFonts w:ascii="Calibri" w:hAnsi="Calibri"/>
                <w:sz w:val="22"/>
              </w:rPr>
              <w:t>Reference/master data ownership assigned</w:t>
            </w:r>
          </w:p>
        </w:tc>
        <w:tc>
          <w:tcPr>
            <w:tcW w:type="dxa" w:w="2074"/>
            <w:shd w:fill="F3F5F7"/>
          </w:tcPr>
          <w:p>
            <w:r>
              <w:rPr>
                <w:rFonts w:ascii="Calibri" w:hAnsi="Calibri"/>
                <w:sz w:val="22"/>
              </w:rPr>
              <w:t>Not Started</w:t>
            </w:r>
          </w:p>
        </w:tc>
        <w:tc>
          <w:tcPr>
            <w:tcW w:type="dxa" w:w="2074"/>
            <w:shd w:fill="F3F5F7"/>
          </w:tcPr>
          <w:p>
            <w:r>
              <w:rPr>
                <w:rFonts w:ascii="Calibri" w:hAnsi="Calibri"/>
                <w:sz w:val="22"/>
              </w:rPr>
              <w:t>TBD</w:t>
            </w:r>
          </w:p>
        </w:tc>
        <w:tc>
          <w:tcPr>
            <w:tcW w:type="dxa" w:w="2074"/>
            <w:shd w:fill="F3F5F7"/>
          </w:tcPr>
          <w:p>
            <w:r>
              <w:rPr>
                <w:rFonts w:ascii="Calibri" w:hAnsi="Calibri"/>
                <w:sz w:val="22"/>
              </w:rPr>
            </w:r>
          </w:p>
        </w:tc>
      </w:tr>
    </w:tbl>
    <w:p>
      <w:r>
        <w:rPr>
          <w:sz w:val="20"/>
        </w:rPr>
        <w:t>Scoring note: the complete readiness workbook uses Complete = 1, Partial = 0.5, and Not Started / N-A-not-met = 0. This free sample preserves the checklist structure without the full scored workbook.</w:t>
      </w:r>
    </w:p>
    <w:p>
      <w:r/>
    </w:p>
    <w:p>
      <w:r>
        <w:br w:type="page"/>
      </w:r>
    </w:p>
    <w:p>
      <w:pPr>
        <w:jc w:val="center"/>
        <w:shd w:fill="1B3A5C"/>
      </w:pPr>
      <w:r>
        <w:rPr>
          <w:rFonts w:ascii="Calibri" w:hAnsi="Calibri"/>
          <w:b/>
          <w:color w:val="FFFFFF"/>
          <w:sz w:val="22"/>
        </w:rPr>
        <w:t>⚠️ FICTIONAL EXAMPLE — ALL DATA INVENTED FOR ILLUSTRATIVE PURPOSES ONLY</w:t>
      </w:r>
    </w:p>
    <w:p>
      <w:pPr>
        <w:jc w:val="center"/>
        <w:shd w:fill="B8860B"/>
      </w:pPr>
      <w:r>
        <w:rPr>
          <w:rFonts w:ascii="Calibri" w:hAnsi="Calibri"/>
          <w:b/>
          <w:color w:val="FFFFFF"/>
          <w:sz w:val="22"/>
        </w:rPr>
        <w:t>FREE SAMPLE — Full 65-item checklist + 4 additional readiness categories included in the complete IT Integration &amp; Handover Kit at pharaohsedge.online</w:t>
      </w:r>
    </w:p>
    <w:sectPr w:rsidR="00FC693F" w:rsidRPr="0006063C" w:rsidSect="00034616">
      <w:footerReference w:type="default" r:id="rId9"/>
      <w:pgSz w:w="12240" w:h="15840"/>
      <w:pgMar w:top="936"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sz w:val="18"/>
      </w:rPr>
      <w:t>Pharaoh's Edge IT Integration &amp; Handover Kit | pharaohsedge.online | © 2026 Pharaoh's Edge. For licensed use only. | v1.0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